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2538D7" w14:textId="77777777" w:rsidR="00AA1903" w:rsidRDefault="00000000">
      <w:pPr>
        <w:spacing w:after="40"/>
        <w:jc w:val="center"/>
      </w:pPr>
      <w:r>
        <w:rPr>
          <w:noProof/>
        </w:rPr>
        <w:drawing>
          <wp:inline distT="0" distB="0" distL="0" distR="0" wp14:anchorId="732F0F64" wp14:editId="6F6E547B">
            <wp:extent cx="1440180" cy="2628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6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2752F" w14:textId="77777777" w:rsidR="00AA1903" w:rsidRDefault="00000000">
      <w:pPr>
        <w:spacing w:after="40"/>
        <w:jc w:val="center"/>
      </w:pPr>
      <w:r>
        <w:rPr>
          <w:b/>
          <w:color w:val="1E8A8A"/>
          <w:sz w:val="18"/>
        </w:rPr>
        <w:t>——— 2026 FINAL ANALYTICAL REPORT ———</w:t>
      </w:r>
    </w:p>
    <w:p w14:paraId="20566744" w14:textId="77777777" w:rsidR="00AA1903" w:rsidRDefault="00000000">
      <w:pPr>
        <w:spacing w:after="0"/>
        <w:jc w:val="center"/>
      </w:pPr>
      <w:r>
        <w:rPr>
          <w:b/>
          <w:color w:val="1B3A6B"/>
          <w:sz w:val="32"/>
        </w:rPr>
        <w:t>Wild Pacific Salmon: Russia and Alaska</w:t>
      </w:r>
    </w:p>
    <w:p w14:paraId="6093E837" w14:textId="38C502E7" w:rsidR="00AA1903" w:rsidRDefault="00000000" w:rsidP="00D03F94">
      <w:pPr>
        <w:spacing w:after="160"/>
        <w:jc w:val="center"/>
      </w:pPr>
      <w:r>
        <w:rPr>
          <w:i/>
          <w:color w:val="5A5A5A"/>
          <w:sz w:val="20"/>
        </w:rPr>
        <w:t>2026 season review · sockeye focus · 2027 forecast · Japan market</w:t>
      </w:r>
    </w:p>
    <w:p w14:paraId="254074F4" w14:textId="1EED1161" w:rsidR="00AA1903" w:rsidRPr="00605B15" w:rsidRDefault="00000000" w:rsidP="00640D65">
      <w:pPr>
        <w:spacing w:after="140"/>
        <w:rPr>
          <w:b/>
          <w:color w:val="1F497D" w:themeColor="text2"/>
          <w:szCs w:val="21"/>
        </w:rPr>
      </w:pPr>
      <w:r w:rsidRPr="00605B15">
        <w:rPr>
          <w:b/>
          <w:color w:val="1F497D" w:themeColor="text2"/>
          <w:szCs w:val="21"/>
        </w:rPr>
        <w:t>REPORT STRUCTURE</w:t>
      </w:r>
      <w:r w:rsidR="00605B15">
        <w:rPr>
          <w:b/>
          <w:color w:val="1F497D" w:themeColor="text2"/>
          <w:szCs w:val="21"/>
        </w:rPr>
        <w:t>:</w:t>
      </w:r>
      <w:r w:rsidR="00605B15" w:rsidRPr="00605B15">
        <w:rPr>
          <w:b/>
          <w:color w:val="1F497D" w:themeColor="text2"/>
          <w:szCs w:val="21"/>
        </w:rPr>
        <w:t xml:space="preserve"> </w:t>
      </w:r>
      <w:r w:rsidR="00640D65" w:rsidRPr="00605B15">
        <w:rPr>
          <w:b/>
          <w:color w:val="1F497D" w:themeColor="text2"/>
          <w:szCs w:val="21"/>
        </w:rPr>
        <w:t>15 sections across 33 pages with 14 charts and more than 30 tables.</w:t>
      </w:r>
    </w:p>
    <w:tbl>
      <w:tblPr>
        <w:tblW w:w="10540" w:type="dxa"/>
        <w:jc w:val="center"/>
        <w:tblLayout w:type="fixed"/>
        <w:tblLook w:val="04A0" w:firstRow="1" w:lastRow="0" w:firstColumn="1" w:lastColumn="0" w:noHBand="0" w:noVBand="1"/>
      </w:tblPr>
      <w:tblGrid>
        <w:gridCol w:w="5271"/>
        <w:gridCol w:w="5269"/>
      </w:tblGrid>
      <w:tr w:rsidR="00AA1903" w14:paraId="53B49609" w14:textId="77777777">
        <w:trPr>
          <w:jc w:val="center"/>
        </w:trPr>
        <w:tc>
          <w:tcPr>
            <w:tcW w:w="5270" w:type="dxa"/>
          </w:tcPr>
          <w:p w14:paraId="34D3687E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01  </w:t>
            </w:r>
            <w:r>
              <w:rPr>
                <w:b/>
                <w:color w:val="1B3A6B"/>
                <w:sz w:val="18"/>
              </w:rPr>
              <w:t>Executive</w:t>
            </w:r>
            <w:proofErr w:type="gramEnd"/>
            <w:r>
              <w:rPr>
                <w:b/>
                <w:color w:val="1B3A6B"/>
                <w:sz w:val="18"/>
              </w:rPr>
              <w:t xml:space="preserve"> Summary</w:t>
            </w:r>
          </w:p>
          <w:p w14:paraId="2D5C77ED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>Key findings of the 2026 season and 5 market drivers</w:t>
            </w:r>
          </w:p>
        </w:tc>
        <w:tc>
          <w:tcPr>
            <w:tcW w:w="5269" w:type="dxa"/>
          </w:tcPr>
          <w:p w14:paraId="4F7183E2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02  </w:t>
            </w:r>
            <w:r>
              <w:rPr>
                <w:b/>
                <w:color w:val="1B3A6B"/>
                <w:sz w:val="18"/>
              </w:rPr>
              <w:t>Fishing</w:t>
            </w:r>
            <w:proofErr w:type="gramEnd"/>
            <w:r>
              <w:rPr>
                <w:b/>
                <w:color w:val="1B3A6B"/>
                <w:sz w:val="18"/>
              </w:rPr>
              <w:t xml:space="preserve"> season calendar 2026</w:t>
            </w:r>
          </w:p>
          <w:p w14:paraId="50DD4533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>Harvest timeline by region, early closures</w:t>
            </w:r>
          </w:p>
        </w:tc>
      </w:tr>
      <w:tr w:rsidR="00AA1903" w14:paraId="703F0756" w14:textId="77777777">
        <w:trPr>
          <w:jc w:val="center"/>
        </w:trPr>
        <w:tc>
          <w:tcPr>
            <w:tcW w:w="5270" w:type="dxa"/>
          </w:tcPr>
          <w:p w14:paraId="51ECAF4F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03  </w:t>
            </w:r>
            <w:r>
              <w:rPr>
                <w:b/>
                <w:color w:val="1B3A6B"/>
                <w:sz w:val="18"/>
              </w:rPr>
              <w:t>Russia</w:t>
            </w:r>
            <w:proofErr w:type="gramEnd"/>
            <w:r>
              <w:rPr>
                <w:b/>
                <w:color w:val="1B3A6B"/>
                <w:sz w:val="18"/>
              </w:rPr>
              <w:t xml:space="preserve"> vs Alaska, 23.09.2026</w:t>
            </w:r>
          </w:p>
          <w:p w14:paraId="000E53F4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>Species balance, tons conversion, 1:2 imbalance</w:t>
            </w:r>
          </w:p>
        </w:tc>
        <w:tc>
          <w:tcPr>
            <w:tcW w:w="5269" w:type="dxa"/>
          </w:tcPr>
          <w:p w14:paraId="40B75A7C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04  </w:t>
            </w:r>
            <w:r>
              <w:rPr>
                <w:b/>
                <w:color w:val="1B3A6B"/>
                <w:sz w:val="18"/>
              </w:rPr>
              <w:t>World</w:t>
            </w:r>
            <w:proofErr w:type="gramEnd"/>
            <w:r>
              <w:rPr>
                <w:b/>
                <w:color w:val="1B3A6B"/>
                <w:sz w:val="18"/>
              </w:rPr>
              <w:t xml:space="preserve"> wild salmon balance 2026</w:t>
            </w:r>
          </w:p>
          <w:p w14:paraId="55170C48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>Regional shares, 2025 vs 2026, by 5 species</w:t>
            </w:r>
          </w:p>
        </w:tc>
      </w:tr>
      <w:tr w:rsidR="00AA1903" w14:paraId="0125D4FD" w14:textId="77777777">
        <w:trPr>
          <w:jc w:val="center"/>
        </w:trPr>
        <w:tc>
          <w:tcPr>
            <w:tcW w:w="5270" w:type="dxa"/>
          </w:tcPr>
          <w:p w14:paraId="3D095EA3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05  </w:t>
            </w:r>
            <w:r>
              <w:rPr>
                <w:b/>
                <w:color w:val="1B3A6B"/>
                <w:sz w:val="18"/>
              </w:rPr>
              <w:t>Sockeye</w:t>
            </w:r>
            <w:proofErr w:type="gramEnd"/>
            <w:r>
              <w:rPr>
                <w:b/>
                <w:color w:val="1B3A6B"/>
                <w:sz w:val="18"/>
              </w:rPr>
              <w:t xml:space="preserve"> — 2026 season review</w:t>
            </w:r>
          </w:p>
          <w:p w14:paraId="2B805860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>Russia FE; Bristol Bay 5 districts; age, timing</w:t>
            </w:r>
          </w:p>
        </w:tc>
        <w:tc>
          <w:tcPr>
            <w:tcW w:w="5269" w:type="dxa"/>
          </w:tcPr>
          <w:p w14:paraId="75CB2773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06  </w:t>
            </w:r>
            <w:r>
              <w:rPr>
                <w:b/>
                <w:color w:val="1B3A6B"/>
                <w:sz w:val="18"/>
              </w:rPr>
              <w:t>Chum</w:t>
            </w:r>
            <w:proofErr w:type="gramEnd"/>
            <w:r>
              <w:rPr>
                <w:b/>
                <w:color w:val="1B3A6B"/>
                <w:sz w:val="18"/>
              </w:rPr>
              <w:t xml:space="preserve"> — 2026 season review</w:t>
            </w:r>
          </w:p>
          <w:p w14:paraId="0DB5590C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>Species total Russia + Alaska, regions</w:t>
            </w:r>
          </w:p>
        </w:tc>
      </w:tr>
      <w:tr w:rsidR="00AA1903" w14:paraId="652836A7" w14:textId="77777777">
        <w:trPr>
          <w:jc w:val="center"/>
        </w:trPr>
        <w:tc>
          <w:tcPr>
            <w:tcW w:w="5270" w:type="dxa"/>
          </w:tcPr>
          <w:p w14:paraId="2368A728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07  </w:t>
            </w:r>
            <w:r>
              <w:rPr>
                <w:b/>
                <w:color w:val="1B3A6B"/>
                <w:sz w:val="18"/>
              </w:rPr>
              <w:t>Pink</w:t>
            </w:r>
            <w:proofErr w:type="gramEnd"/>
            <w:r>
              <w:rPr>
                <w:b/>
                <w:color w:val="1B3A6B"/>
                <w:sz w:val="18"/>
              </w:rPr>
              <w:t xml:space="preserve"> — 2026 season review</w:t>
            </w:r>
          </w:p>
          <w:p w14:paraId="00E17AAF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>Species total Russia + Alaska, two-year cycle</w:t>
            </w:r>
          </w:p>
        </w:tc>
        <w:tc>
          <w:tcPr>
            <w:tcW w:w="5269" w:type="dxa"/>
          </w:tcPr>
          <w:p w14:paraId="652C3FAF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08  </w:t>
            </w:r>
            <w:r>
              <w:rPr>
                <w:b/>
                <w:color w:val="1B3A6B"/>
                <w:sz w:val="18"/>
              </w:rPr>
              <w:t>VNIRO</w:t>
            </w:r>
            <w:proofErr w:type="gramEnd"/>
            <w:r>
              <w:rPr>
                <w:b/>
                <w:color w:val="1B3A6B"/>
                <w:sz w:val="18"/>
              </w:rPr>
              <w:t xml:space="preserve"> forecast execution</w:t>
            </w:r>
          </w:p>
          <w:p w14:paraId="6D94164B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>By Russia FE regions: Kamchatka, Khabarovsk, Sakhalin…</w:t>
            </w:r>
          </w:p>
        </w:tc>
      </w:tr>
      <w:tr w:rsidR="00AA1903" w14:paraId="17806FB3" w14:textId="77777777">
        <w:trPr>
          <w:jc w:val="center"/>
        </w:trPr>
        <w:tc>
          <w:tcPr>
            <w:tcW w:w="5270" w:type="dxa"/>
          </w:tcPr>
          <w:p w14:paraId="52C584CD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09  </w:t>
            </w:r>
            <w:r>
              <w:rPr>
                <w:b/>
                <w:color w:val="1B3A6B"/>
                <w:sz w:val="18"/>
              </w:rPr>
              <w:t>Average</w:t>
            </w:r>
            <w:proofErr w:type="gramEnd"/>
            <w:r>
              <w:rPr>
                <w:b/>
                <w:color w:val="1B3A6B"/>
                <w:sz w:val="18"/>
              </w:rPr>
              <w:t xml:space="preserve"> commercial weights 2020-2026</w:t>
            </w:r>
          </w:p>
          <w:p w14:paraId="7E848808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>Declining trend by Alaska species (BB sockeye −15%)</w:t>
            </w:r>
          </w:p>
        </w:tc>
        <w:tc>
          <w:tcPr>
            <w:tcW w:w="5269" w:type="dxa"/>
          </w:tcPr>
          <w:p w14:paraId="3D6399C3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10  </w:t>
            </w:r>
            <w:r>
              <w:rPr>
                <w:b/>
                <w:color w:val="1B3A6B"/>
                <w:sz w:val="18"/>
              </w:rPr>
              <w:t>Escapement</w:t>
            </w:r>
            <w:proofErr w:type="gramEnd"/>
            <w:r>
              <w:rPr>
                <w:b/>
                <w:color w:val="1B3A6B"/>
                <w:sz w:val="18"/>
              </w:rPr>
              <w:t xml:space="preserve"> — spawning stocks</w:t>
            </w:r>
          </w:p>
          <w:p w14:paraId="310E953F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 xml:space="preserve">9 BB districts; Yukon, Kenai, Chignik; </w:t>
            </w:r>
            <w:proofErr w:type="spellStart"/>
            <w:r>
              <w:rPr>
                <w:i/>
                <w:color w:val="5A5A5A"/>
                <w:sz w:val="16"/>
              </w:rPr>
              <w:t>Ozernaya</w:t>
            </w:r>
            <w:proofErr w:type="spellEnd"/>
          </w:p>
        </w:tc>
      </w:tr>
      <w:tr w:rsidR="00AA1903" w14:paraId="5DF7021C" w14:textId="77777777">
        <w:trPr>
          <w:jc w:val="center"/>
        </w:trPr>
        <w:tc>
          <w:tcPr>
            <w:tcW w:w="5270" w:type="dxa"/>
          </w:tcPr>
          <w:p w14:paraId="3549E964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11  </w:t>
            </w:r>
            <w:r>
              <w:rPr>
                <w:b/>
                <w:color w:val="1B3A6B"/>
                <w:sz w:val="18"/>
              </w:rPr>
              <w:t>Key</w:t>
            </w:r>
            <w:proofErr w:type="gramEnd"/>
            <w:r>
              <w:rPr>
                <w:b/>
                <w:color w:val="1B3A6B"/>
                <w:sz w:val="18"/>
              </w:rPr>
              <w:t xml:space="preserve"> events of the 2026 season</w:t>
            </w:r>
          </w:p>
          <w:p w14:paraId="6F8B601E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>Ex-vessel prices, M&amp;A, Cordova plant, Yukon closure</w:t>
            </w:r>
          </w:p>
        </w:tc>
        <w:tc>
          <w:tcPr>
            <w:tcW w:w="5269" w:type="dxa"/>
          </w:tcPr>
          <w:p w14:paraId="50F340FB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12  </w:t>
            </w:r>
            <w:r>
              <w:rPr>
                <w:b/>
                <w:color w:val="1B3A6B"/>
                <w:sz w:val="18"/>
              </w:rPr>
              <w:t>Corporate</w:t>
            </w:r>
            <w:proofErr w:type="gramEnd"/>
            <w:r>
              <w:rPr>
                <w:b/>
                <w:color w:val="1B3A6B"/>
                <w:sz w:val="18"/>
              </w:rPr>
              <w:t xml:space="preserve"> </w:t>
            </w:r>
            <w:proofErr w:type="gramStart"/>
            <w:r>
              <w:rPr>
                <w:b/>
                <w:color w:val="1B3A6B"/>
                <w:sz w:val="18"/>
              </w:rPr>
              <w:t>landscape</w:t>
            </w:r>
            <w:proofErr w:type="gramEnd"/>
            <w:r>
              <w:rPr>
                <w:b/>
                <w:color w:val="1B3A6B"/>
                <w:sz w:val="18"/>
              </w:rPr>
              <w:t xml:space="preserve"> of Kamchatka</w:t>
            </w:r>
          </w:p>
          <w:p w14:paraId="1F10AE2F" w14:textId="77777777" w:rsidR="00AA1903" w:rsidRDefault="00000000">
            <w:pPr>
              <w:spacing w:after="0"/>
              <w:ind w:left="340"/>
            </w:pPr>
            <w:proofErr w:type="gramStart"/>
            <w:r>
              <w:rPr>
                <w:i/>
                <w:color w:val="5A5A5A"/>
                <w:sz w:val="16"/>
              </w:rPr>
              <w:t>Top-11</w:t>
            </w:r>
            <w:proofErr w:type="gramEnd"/>
            <w:r>
              <w:rPr>
                <w:i/>
                <w:color w:val="5A5A5A"/>
                <w:sz w:val="16"/>
              </w:rPr>
              <w:t xml:space="preserve"> groups, sockeye concentration, specialization</w:t>
            </w:r>
          </w:p>
        </w:tc>
      </w:tr>
      <w:tr w:rsidR="00AA1903" w14:paraId="6BB7359A" w14:textId="77777777">
        <w:trPr>
          <w:jc w:val="center"/>
        </w:trPr>
        <w:tc>
          <w:tcPr>
            <w:tcW w:w="5270" w:type="dxa"/>
          </w:tcPr>
          <w:p w14:paraId="6818DF7C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13  </w:t>
            </w:r>
            <w:r>
              <w:rPr>
                <w:b/>
                <w:color w:val="1B3A6B"/>
                <w:sz w:val="18"/>
              </w:rPr>
              <w:t>Japanese</w:t>
            </w:r>
            <w:proofErr w:type="gramEnd"/>
            <w:r>
              <w:rPr>
                <w:b/>
                <w:color w:val="1B3A6B"/>
                <w:sz w:val="18"/>
              </w:rPr>
              <w:t xml:space="preserve"> sockeye market — changes</w:t>
            </w:r>
          </w:p>
          <w:p w14:paraId="1D4286CB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>Dependency, MAFF inventories, distribution, aquaculture</w:t>
            </w:r>
          </w:p>
        </w:tc>
        <w:tc>
          <w:tcPr>
            <w:tcW w:w="5269" w:type="dxa"/>
          </w:tcPr>
          <w:p w14:paraId="1C39DF0F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14  </w:t>
            </w:r>
            <w:r>
              <w:rPr>
                <w:b/>
                <w:color w:val="1B3A6B"/>
                <w:sz w:val="18"/>
              </w:rPr>
              <w:t>2027</w:t>
            </w:r>
            <w:proofErr w:type="gramEnd"/>
            <w:r>
              <w:rPr>
                <w:b/>
                <w:color w:val="1B3A6B"/>
                <w:sz w:val="18"/>
              </w:rPr>
              <w:t xml:space="preserve"> season forecast</w:t>
            </w:r>
          </w:p>
          <w:p w14:paraId="732EF699" w14:textId="77777777" w:rsidR="00AA1903" w:rsidRDefault="00000000">
            <w:pPr>
              <w:spacing w:after="0"/>
              <w:ind w:left="340"/>
            </w:pPr>
            <w:proofErr w:type="spellStart"/>
            <w:r>
              <w:rPr>
                <w:i/>
                <w:color w:val="5A5A5A"/>
                <w:sz w:val="16"/>
              </w:rPr>
              <w:t>Ozernaya</w:t>
            </w:r>
            <w:proofErr w:type="spellEnd"/>
            <w:r>
              <w:rPr>
                <w:i/>
                <w:color w:val="5A5A5A"/>
                <w:sz w:val="16"/>
              </w:rPr>
              <w:t xml:space="preserve"> sockeye 13-19 kt, BB 40-45 M, pink</w:t>
            </w:r>
          </w:p>
        </w:tc>
      </w:tr>
      <w:tr w:rsidR="00AA1903" w14:paraId="4DB3A189" w14:textId="77777777">
        <w:trPr>
          <w:jc w:val="center"/>
        </w:trPr>
        <w:tc>
          <w:tcPr>
            <w:tcW w:w="5270" w:type="dxa"/>
          </w:tcPr>
          <w:p w14:paraId="6E90560B" w14:textId="77777777" w:rsidR="00AA1903" w:rsidRDefault="00000000">
            <w:pPr>
              <w:spacing w:after="20"/>
            </w:pPr>
            <w:proofErr w:type="gramStart"/>
            <w:r>
              <w:rPr>
                <w:b/>
                <w:color w:val="1E8A8A"/>
                <w:sz w:val="20"/>
              </w:rPr>
              <w:t xml:space="preserve">15  </w:t>
            </w:r>
            <w:r>
              <w:rPr>
                <w:b/>
                <w:color w:val="1B3A6B"/>
                <w:sz w:val="18"/>
              </w:rPr>
              <w:t>Sources</w:t>
            </w:r>
            <w:proofErr w:type="gramEnd"/>
            <w:r>
              <w:rPr>
                <w:b/>
                <w:color w:val="1B3A6B"/>
                <w:sz w:val="18"/>
              </w:rPr>
              <w:t xml:space="preserve"> and disclaimer</w:t>
            </w:r>
          </w:p>
          <w:p w14:paraId="3241E300" w14:textId="77777777" w:rsidR="00AA1903" w:rsidRDefault="00000000">
            <w:pPr>
              <w:spacing w:after="0"/>
              <w:ind w:left="340"/>
            </w:pPr>
            <w:r>
              <w:rPr>
                <w:i/>
                <w:color w:val="5A5A5A"/>
                <w:sz w:val="16"/>
              </w:rPr>
              <w:t>19 primary sources with categorization</w:t>
            </w:r>
          </w:p>
        </w:tc>
        <w:tc>
          <w:tcPr>
            <w:tcW w:w="5269" w:type="dxa"/>
          </w:tcPr>
          <w:p w14:paraId="24AE4C58" w14:textId="77777777" w:rsidR="00AA1903" w:rsidRDefault="00AA1903"/>
        </w:tc>
      </w:tr>
    </w:tbl>
    <w:p w14:paraId="7F48EF3D" w14:textId="77777777" w:rsidR="00AA1903" w:rsidRPr="00605B15" w:rsidRDefault="00000000">
      <w:pPr>
        <w:spacing w:before="120" w:after="40"/>
        <w:rPr>
          <w:color w:val="1F497D" w:themeColor="text2"/>
        </w:rPr>
      </w:pPr>
      <w:r w:rsidRPr="00605B15">
        <w:rPr>
          <w:b/>
          <w:color w:val="1F497D" w:themeColor="text2"/>
        </w:rPr>
        <w:t>TARGET AUDIENCE</w:t>
      </w:r>
    </w:p>
    <w:p w14:paraId="4A8ACDD9" w14:textId="64A92177" w:rsidR="00640D65" w:rsidRPr="00605B15" w:rsidRDefault="00640D65">
      <w:pPr>
        <w:spacing w:after="0"/>
        <w:ind w:left="113"/>
        <w:rPr>
          <w:color w:val="1F497D" w:themeColor="text2"/>
          <w:sz w:val="17"/>
        </w:rPr>
      </w:pPr>
      <w:r w:rsidRPr="00605B15">
        <w:rPr>
          <w:color w:val="1F497D" w:themeColor="text2"/>
          <w:sz w:val="17"/>
        </w:rPr>
        <w:t>Written for processors, traders and importers of wild salmon across Asia and the E</w:t>
      </w:r>
      <w:r w:rsidR="00D03F94">
        <w:rPr>
          <w:color w:val="1F497D" w:themeColor="text2"/>
          <w:sz w:val="17"/>
        </w:rPr>
        <w:t xml:space="preserve">U, as well as </w:t>
      </w:r>
      <w:r w:rsidRPr="00605B15">
        <w:rPr>
          <w:color w:val="1F497D" w:themeColor="text2"/>
          <w:sz w:val="17"/>
        </w:rPr>
        <w:t>regulators, industry associations and trade press.</w:t>
      </w:r>
    </w:p>
    <w:p w14:paraId="55D85516" w14:textId="77777777" w:rsidR="00AA1903" w:rsidRPr="00605B15" w:rsidRDefault="00000000">
      <w:pPr>
        <w:spacing w:before="120" w:after="40"/>
        <w:rPr>
          <w:color w:val="1F497D" w:themeColor="text2"/>
        </w:rPr>
      </w:pPr>
      <w:r>
        <w:rPr>
          <w:b/>
          <w:color w:val="1B3A6B"/>
          <w:sz w:val="22"/>
        </w:rPr>
        <w:t>REPORT PRICING</w:t>
      </w:r>
    </w:p>
    <w:tbl>
      <w:tblPr>
        <w:tblW w:w="10540" w:type="dxa"/>
        <w:jc w:val="center"/>
        <w:tblLayout w:type="fixed"/>
        <w:tblLook w:val="04A0" w:firstRow="1" w:lastRow="0" w:firstColumn="1" w:lastColumn="0" w:noHBand="0" w:noVBand="1"/>
      </w:tblPr>
      <w:tblGrid>
        <w:gridCol w:w="10540"/>
      </w:tblGrid>
      <w:tr w:rsidR="00AA1903" w:rsidRPr="00605B15" w14:paraId="6A02A0A7" w14:textId="77777777">
        <w:trPr>
          <w:jc w:val="center"/>
        </w:trPr>
        <w:tc>
          <w:tcPr>
            <w:tcW w:w="10540" w:type="dxa"/>
            <w:shd w:val="clear" w:color="auto" w:fill="D4F1F1"/>
            <w:vAlign w:val="center"/>
          </w:tcPr>
          <w:p w14:paraId="5D5D93F9" w14:textId="574B550B" w:rsidR="00640D65" w:rsidRPr="00605B15" w:rsidRDefault="00640D65" w:rsidP="00640D65">
            <w:pPr>
              <w:spacing w:after="0"/>
              <w:jc w:val="center"/>
              <w:rPr>
                <w:b/>
                <w:color w:val="1F497D" w:themeColor="text2"/>
                <w:sz w:val="22"/>
              </w:rPr>
            </w:pPr>
            <w:r w:rsidRPr="00605B15">
              <w:rPr>
                <w:color w:val="1F497D" w:themeColor="text2"/>
                <w:sz w:val="20"/>
                <w:szCs w:val="20"/>
              </w:rPr>
              <w:t xml:space="preserve">Single Report 2026 (English edition, 15 sections, 33 pages, docx +pdf): </w:t>
            </w:r>
            <w:r w:rsidRPr="00605B15">
              <w:rPr>
                <w:b/>
                <w:color w:val="1F497D" w:themeColor="text2"/>
                <w:sz w:val="20"/>
                <w:szCs w:val="20"/>
              </w:rPr>
              <w:t>€2,500</w:t>
            </w:r>
            <w:r w:rsidRPr="00605B15">
              <w:rPr>
                <w:color w:val="1F497D" w:themeColor="text2"/>
                <w:sz w:val="20"/>
                <w:szCs w:val="20"/>
              </w:rPr>
              <w:br/>
            </w:r>
            <w:r w:rsidRPr="00605B15">
              <w:rPr>
                <w:color w:val="1F497D" w:themeColor="text2"/>
                <w:sz w:val="24"/>
                <w:szCs w:val="24"/>
              </w:rPr>
              <w:t xml:space="preserve">Launch price </w:t>
            </w:r>
            <w:r w:rsidRPr="00605B15">
              <w:rPr>
                <w:b/>
                <w:color w:val="1F497D" w:themeColor="text2"/>
                <w:sz w:val="24"/>
                <w:szCs w:val="24"/>
              </w:rPr>
              <w:t>€1,990 (−20%)</w:t>
            </w:r>
            <w:r w:rsidRPr="00605B15">
              <w:rPr>
                <w:color w:val="1F497D" w:themeColor="text2"/>
                <w:sz w:val="24"/>
                <w:szCs w:val="24"/>
              </w:rPr>
              <w:t xml:space="preserve"> order by November 15 and save €510</w:t>
            </w:r>
          </w:p>
        </w:tc>
      </w:tr>
    </w:tbl>
    <w:p w14:paraId="01DA27C6" w14:textId="77777777" w:rsidR="00AA1903" w:rsidRDefault="00000000">
      <w:pPr>
        <w:spacing w:before="60" w:after="40"/>
        <w:jc w:val="center"/>
      </w:pPr>
      <w:r>
        <w:rPr>
          <w:i/>
          <w:color w:val="5A5A5A"/>
          <w:sz w:val="18"/>
        </w:rPr>
        <w:t>For corporate solutions and custom analytics — please contact us individually.</w:t>
      </w:r>
    </w:p>
    <w:p w14:paraId="29348922" w14:textId="77777777" w:rsidR="00AA1903" w:rsidRDefault="00000000">
      <w:pPr>
        <w:spacing w:before="80" w:after="0"/>
        <w:jc w:val="center"/>
      </w:pPr>
      <w:r>
        <w:rPr>
          <w:i/>
          <w:color w:val="5A5A5A"/>
          <w:sz w:val="20"/>
        </w:rPr>
        <w:t xml:space="preserve">To place an order:   </w:t>
      </w:r>
      <w:r>
        <w:rPr>
          <w:b/>
          <w:color w:val="1E8A8A"/>
          <w:sz w:val="22"/>
        </w:rPr>
        <w:t>office@stcconsult.fr</w:t>
      </w:r>
      <w:r>
        <w:rPr>
          <w:color w:val="5A5A5A"/>
          <w:sz w:val="20"/>
        </w:rPr>
        <w:t xml:space="preserve">   ·   </w:t>
      </w:r>
      <w:r>
        <w:rPr>
          <w:b/>
          <w:color w:val="1E8A8A"/>
          <w:sz w:val="22"/>
        </w:rPr>
        <w:t>www.stcconsult.fr</w:t>
      </w:r>
    </w:p>
    <w:p w14:paraId="5F7DABA7" w14:textId="77777777" w:rsidR="00AA1903" w:rsidRDefault="00000000">
      <w:pPr>
        <w:spacing w:before="120"/>
        <w:jc w:val="center"/>
      </w:pPr>
      <w:r>
        <w:rPr>
          <w:i/>
          <w:color w:val="5A5A5A"/>
          <w:sz w:val="16"/>
        </w:rPr>
        <w:t>© 2026 STC Consult SAS · Cannes, France · Confidential — Client Use Only</w:t>
      </w:r>
    </w:p>
    <w:sectPr w:rsidR="00AA1903">
      <w:pgSz w:w="12240" w:h="15840"/>
      <w:pgMar w:top="680" w:right="850" w:bottom="567" w:left="85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Yu Gothic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FreeSans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56010"/>
    <w:multiLevelType w:val="multilevel"/>
    <w:tmpl w:val="15EAF3D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CD381E"/>
    <w:multiLevelType w:val="multilevel"/>
    <w:tmpl w:val="38E617EE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694334F"/>
    <w:multiLevelType w:val="multilevel"/>
    <w:tmpl w:val="190EB5B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61B6B44"/>
    <w:multiLevelType w:val="multilevel"/>
    <w:tmpl w:val="B8562D1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76C7AE8"/>
    <w:multiLevelType w:val="multilevel"/>
    <w:tmpl w:val="DC1249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E1443E5"/>
    <w:multiLevelType w:val="multilevel"/>
    <w:tmpl w:val="BB60F5E0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05427BE"/>
    <w:multiLevelType w:val="multilevel"/>
    <w:tmpl w:val="B4E6758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16409591">
    <w:abstractNumId w:val="3"/>
  </w:num>
  <w:num w:numId="2" w16cid:durableId="182869473">
    <w:abstractNumId w:val="0"/>
  </w:num>
  <w:num w:numId="3" w16cid:durableId="554197500">
    <w:abstractNumId w:val="6"/>
  </w:num>
  <w:num w:numId="4" w16cid:durableId="1173493352">
    <w:abstractNumId w:val="5"/>
  </w:num>
  <w:num w:numId="5" w16cid:durableId="1026563005">
    <w:abstractNumId w:val="1"/>
  </w:num>
  <w:num w:numId="6" w16cid:durableId="1726684141">
    <w:abstractNumId w:val="2"/>
  </w:num>
  <w:num w:numId="7" w16cid:durableId="162970016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03"/>
    <w:rsid w:val="002C033A"/>
    <w:rsid w:val="003B5975"/>
    <w:rsid w:val="00605B15"/>
    <w:rsid w:val="00640D65"/>
    <w:rsid w:val="006E5DB7"/>
    <w:rsid w:val="00AA1903"/>
    <w:rsid w:val="00D03F94"/>
    <w:rsid w:val="00D45A3F"/>
    <w:rsid w:val="00E8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2D6AA49"/>
  <w15:docId w15:val="{EA91E943-F3E0-4F47-9AFA-1270AD55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  <w:rPr>
      <w:rFonts w:ascii="Calibri" w:hAnsi="Calibri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Заголовок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a1"/>
    <w:next w:val="ae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1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c">
    <w:name w:val="No Spacing"/>
    <w:uiPriority w:val="1"/>
    <w:qFormat/>
    <w:rsid w:val="00FC693F"/>
  </w:style>
  <w:style w:type="paragraph" w:styleId="aa">
    <w:name w:val="Title"/>
    <w:basedOn w:val="a1"/>
    <w:next w:val="a1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d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7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e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">
    <w:name w:val="index heading"/>
    <w:basedOn w:val="Heading"/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Vitaliy Lesin</cp:lastModifiedBy>
  <cp:revision>2</cp:revision>
  <dcterms:created xsi:type="dcterms:W3CDTF">2026-10-16T11:43:00Z</dcterms:created>
  <dcterms:modified xsi:type="dcterms:W3CDTF">2026-10-16T11:43:00Z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2013-12-23T23:15:00Z</dcterms:modified>
  <cp:revision>1</cp:revision>
  <dc:subject/>
  <dc:title/>
</cp:coreProperties>
</file>